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16C14" w14:textId="3E3D681B" w:rsidR="00870012" w:rsidRPr="00870012" w:rsidRDefault="00870012" w:rsidP="00870012">
      <w:pPr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b/>
          <w:szCs w:val="24"/>
          <w:lang w:val="es-ES"/>
        </w:rPr>
        <w:t>Más información</w:t>
      </w:r>
      <w:r w:rsidRPr="00870012">
        <w:rPr>
          <w:rFonts w:ascii="Arial" w:hAnsi="Arial" w:cs="Arial"/>
          <w:b/>
          <w:szCs w:val="24"/>
          <w:lang w:val="es-ES"/>
        </w:rPr>
        <w:t>:</w:t>
      </w:r>
      <w:r w:rsidRPr="00870012">
        <w:rPr>
          <w:rFonts w:ascii="Arial" w:hAnsi="Arial" w:cs="Arial"/>
          <w:szCs w:val="24"/>
          <w:lang w:val="es-ES"/>
        </w:rPr>
        <w:t xml:space="preserve"> </w:t>
      </w:r>
    </w:p>
    <w:p w14:paraId="5B8C1358" w14:textId="6FABAE17" w:rsidR="00870012" w:rsidRDefault="00870012" w:rsidP="00870012">
      <w:pPr>
        <w:jc w:val="both"/>
        <w:rPr>
          <w:rFonts w:ascii="Arial" w:hAnsi="Arial" w:cs="Arial"/>
          <w:szCs w:val="24"/>
          <w:lang w:val="es-ES"/>
        </w:rPr>
      </w:pPr>
      <w:r w:rsidRPr="00870012">
        <w:rPr>
          <w:rFonts w:ascii="Arial" w:hAnsi="Arial" w:cs="Arial"/>
          <w:szCs w:val="24"/>
          <w:lang w:val="es-ES"/>
        </w:rPr>
        <w:t xml:space="preserve">Michael Coleman es graduado en Bioquímica por la Universidad de Oxford y se doctoró en </w:t>
      </w:r>
      <w:r w:rsidR="00F25A4F">
        <w:rPr>
          <w:rFonts w:ascii="Arial" w:hAnsi="Arial" w:cs="Arial"/>
          <w:szCs w:val="24"/>
          <w:lang w:val="es-ES"/>
        </w:rPr>
        <w:t>B</w:t>
      </w:r>
      <w:r w:rsidRPr="00870012">
        <w:rPr>
          <w:rFonts w:ascii="Arial" w:hAnsi="Arial" w:cs="Arial"/>
          <w:szCs w:val="24"/>
          <w:lang w:val="es-ES"/>
        </w:rPr>
        <w:t>ioquímica de neurofilamentos</w:t>
      </w:r>
      <w:r w:rsidR="00F25A4F">
        <w:rPr>
          <w:rFonts w:ascii="Arial" w:hAnsi="Arial" w:cs="Arial"/>
          <w:szCs w:val="24"/>
          <w:lang w:val="es-ES"/>
        </w:rPr>
        <w:t xml:space="preserve"> en la Universidad de Londres</w:t>
      </w:r>
      <w:r w:rsidRPr="00870012">
        <w:rPr>
          <w:rFonts w:ascii="Arial" w:hAnsi="Arial" w:cs="Arial"/>
          <w:szCs w:val="24"/>
          <w:lang w:val="es-ES"/>
        </w:rPr>
        <w:t xml:space="preserve">. Regresó a Oxford para realizar dos posdoctorados, el primero sobre la genética molecular de las enfermedades oculares humanas y el segundo sobre la identificación del gen de degeneración </w:t>
      </w:r>
      <w:proofErr w:type="spellStart"/>
      <w:r w:rsidRPr="00870012">
        <w:rPr>
          <w:rFonts w:ascii="Arial" w:hAnsi="Arial" w:cs="Arial"/>
          <w:szCs w:val="24"/>
          <w:lang w:val="es-ES"/>
        </w:rPr>
        <w:t>walleriana</w:t>
      </w:r>
      <w:proofErr w:type="spellEnd"/>
      <w:r w:rsidRPr="00870012">
        <w:rPr>
          <w:rFonts w:ascii="Arial" w:hAnsi="Arial" w:cs="Arial"/>
          <w:szCs w:val="24"/>
          <w:lang w:val="es-ES"/>
        </w:rPr>
        <w:t xml:space="preserve"> lenta (</w:t>
      </w:r>
      <w:proofErr w:type="spellStart"/>
      <w:r w:rsidRPr="00870012">
        <w:rPr>
          <w:rFonts w:ascii="Arial" w:hAnsi="Arial" w:cs="Arial"/>
          <w:szCs w:val="24"/>
          <w:lang w:val="es-ES"/>
        </w:rPr>
        <w:t>WldS</w:t>
      </w:r>
      <w:proofErr w:type="spellEnd"/>
      <w:r w:rsidRPr="00870012">
        <w:rPr>
          <w:rFonts w:ascii="Arial" w:hAnsi="Arial" w:cs="Arial"/>
          <w:szCs w:val="24"/>
          <w:lang w:val="es-ES"/>
        </w:rPr>
        <w:t xml:space="preserve">) en ratones. </w:t>
      </w:r>
      <w:r w:rsidR="0087156E">
        <w:rPr>
          <w:rFonts w:ascii="Arial" w:hAnsi="Arial" w:cs="Arial"/>
          <w:szCs w:val="24"/>
          <w:lang w:val="es-ES"/>
        </w:rPr>
        <w:t xml:space="preserve">El Dr. </w:t>
      </w:r>
      <w:r w:rsidR="00F25A4F" w:rsidRPr="00F25A4F">
        <w:rPr>
          <w:rFonts w:ascii="Arial" w:hAnsi="Arial" w:cs="Arial"/>
          <w:szCs w:val="24"/>
          <w:lang w:val="es-ES"/>
        </w:rPr>
        <w:t>Coleman es profesor de Neurociencia en el Departamento de Neurociencias Clínicas de la Universidad de Cambridge y</w:t>
      </w:r>
      <w:r w:rsidR="00F25A4F">
        <w:rPr>
          <w:rFonts w:ascii="Arial" w:hAnsi="Arial" w:cs="Arial"/>
          <w:szCs w:val="24"/>
          <w:lang w:val="es-ES"/>
        </w:rPr>
        <w:t xml:space="preserve"> </w:t>
      </w:r>
      <w:r w:rsidR="0046585C">
        <w:rPr>
          <w:rFonts w:ascii="Arial" w:hAnsi="Arial" w:cs="Arial"/>
          <w:szCs w:val="24"/>
          <w:lang w:val="es-ES"/>
        </w:rPr>
        <w:t>recientemente se ha incorporado</w:t>
      </w:r>
      <w:r w:rsidR="00F25A4F">
        <w:rPr>
          <w:rFonts w:ascii="Arial" w:hAnsi="Arial" w:cs="Arial"/>
          <w:szCs w:val="24"/>
          <w:lang w:val="es-ES"/>
        </w:rPr>
        <w:t xml:space="preserve"> </w:t>
      </w:r>
      <w:r w:rsidR="0046585C">
        <w:rPr>
          <w:rFonts w:ascii="Arial" w:hAnsi="Arial" w:cs="Arial"/>
          <w:szCs w:val="24"/>
          <w:lang w:val="es-ES"/>
        </w:rPr>
        <w:t>a</w:t>
      </w:r>
      <w:r w:rsidR="00F25A4F">
        <w:rPr>
          <w:rFonts w:ascii="Arial" w:hAnsi="Arial" w:cs="Arial"/>
          <w:szCs w:val="24"/>
          <w:lang w:val="es-ES"/>
        </w:rPr>
        <w:t>l</w:t>
      </w:r>
      <w:r w:rsidR="00F25A4F" w:rsidRPr="00F25A4F">
        <w:rPr>
          <w:rFonts w:ascii="Arial" w:hAnsi="Arial" w:cs="Arial"/>
          <w:szCs w:val="24"/>
          <w:lang w:val="es-ES"/>
        </w:rPr>
        <w:t xml:space="preserve"> Churchill </w:t>
      </w:r>
      <w:proofErr w:type="spellStart"/>
      <w:r w:rsidR="00F25A4F" w:rsidRPr="00F25A4F">
        <w:rPr>
          <w:rFonts w:ascii="Arial" w:hAnsi="Arial" w:cs="Arial"/>
          <w:szCs w:val="24"/>
          <w:lang w:val="es-ES"/>
        </w:rPr>
        <w:t>College</w:t>
      </w:r>
      <w:proofErr w:type="spellEnd"/>
      <w:r w:rsidR="00F25A4F" w:rsidRPr="00F25A4F">
        <w:rPr>
          <w:rFonts w:ascii="Arial" w:hAnsi="Arial" w:cs="Arial"/>
          <w:szCs w:val="24"/>
          <w:lang w:val="es-ES"/>
        </w:rPr>
        <w:t xml:space="preserve"> de Cambridge como investigador </w:t>
      </w:r>
      <w:r w:rsidR="0046585C">
        <w:rPr>
          <w:rFonts w:ascii="Arial" w:hAnsi="Arial" w:cs="Arial"/>
          <w:szCs w:val="24"/>
          <w:lang w:val="es-ES"/>
        </w:rPr>
        <w:t>senior</w:t>
      </w:r>
      <w:r w:rsidR="00F25A4F" w:rsidRPr="00F25A4F">
        <w:rPr>
          <w:rFonts w:ascii="Arial" w:hAnsi="Arial" w:cs="Arial"/>
          <w:szCs w:val="24"/>
          <w:lang w:val="es-ES"/>
        </w:rPr>
        <w:t>.</w:t>
      </w:r>
      <w:r w:rsidR="00F25A4F">
        <w:rPr>
          <w:rFonts w:ascii="Arial" w:hAnsi="Arial" w:cs="Arial"/>
          <w:szCs w:val="24"/>
          <w:lang w:val="es-ES"/>
        </w:rPr>
        <w:t xml:space="preserve"> </w:t>
      </w:r>
      <w:r w:rsidR="00E86657">
        <w:rPr>
          <w:rFonts w:ascii="Arial" w:hAnsi="Arial" w:cs="Arial"/>
          <w:szCs w:val="24"/>
          <w:lang w:val="es-ES"/>
        </w:rPr>
        <w:t>Fue</w:t>
      </w:r>
      <w:r w:rsidRPr="00870012">
        <w:rPr>
          <w:rFonts w:ascii="Arial" w:hAnsi="Arial" w:cs="Arial"/>
          <w:szCs w:val="24"/>
          <w:lang w:val="es-ES"/>
        </w:rPr>
        <w:t xml:space="preserve"> director académico del Centro John van </w:t>
      </w:r>
      <w:proofErr w:type="spellStart"/>
      <w:r w:rsidRPr="00870012">
        <w:rPr>
          <w:rFonts w:ascii="Arial" w:hAnsi="Arial" w:cs="Arial"/>
          <w:szCs w:val="24"/>
          <w:lang w:val="es-ES"/>
        </w:rPr>
        <w:t>Geest</w:t>
      </w:r>
      <w:proofErr w:type="spellEnd"/>
      <w:r w:rsidRPr="00870012">
        <w:rPr>
          <w:rFonts w:ascii="Arial" w:hAnsi="Arial" w:cs="Arial"/>
          <w:szCs w:val="24"/>
          <w:lang w:val="es-ES"/>
        </w:rPr>
        <w:t xml:space="preserve"> para la reparación del cerebro </w:t>
      </w:r>
      <w:r w:rsidR="00E86657">
        <w:rPr>
          <w:rFonts w:ascii="Arial" w:hAnsi="Arial" w:cs="Arial"/>
          <w:szCs w:val="24"/>
          <w:lang w:val="es-ES"/>
        </w:rPr>
        <w:t>(2016-2022)</w:t>
      </w:r>
      <w:r w:rsidRPr="00870012">
        <w:rPr>
          <w:rFonts w:ascii="Arial" w:hAnsi="Arial" w:cs="Arial"/>
          <w:szCs w:val="24"/>
          <w:lang w:val="es-ES"/>
        </w:rPr>
        <w:t>.</w:t>
      </w:r>
    </w:p>
    <w:p w14:paraId="7DEEB44B" w14:textId="27A9A03D" w:rsidR="0046585C" w:rsidRDefault="0046585C" w:rsidP="0046585C">
      <w:pPr>
        <w:jc w:val="both"/>
        <w:rPr>
          <w:rFonts w:ascii="Arial" w:hAnsi="Arial" w:cs="Arial"/>
          <w:szCs w:val="24"/>
          <w:lang w:val="es-ES"/>
        </w:rPr>
      </w:pPr>
      <w:r w:rsidRPr="0046585C">
        <w:rPr>
          <w:rFonts w:ascii="Arial" w:hAnsi="Arial" w:cs="Arial"/>
          <w:szCs w:val="24"/>
          <w:lang w:val="es-ES"/>
        </w:rPr>
        <w:t>Su grupo de investigación estudia los mecanismos de</w:t>
      </w:r>
      <w:r>
        <w:rPr>
          <w:rFonts w:ascii="Arial" w:hAnsi="Arial" w:cs="Arial"/>
          <w:szCs w:val="24"/>
          <w:lang w:val="es-ES"/>
        </w:rPr>
        <w:t xml:space="preserve"> degeneración axonal</w:t>
      </w:r>
      <w:r w:rsidRPr="0046585C">
        <w:rPr>
          <w:rFonts w:ascii="Arial" w:hAnsi="Arial" w:cs="Arial"/>
          <w:szCs w:val="24"/>
          <w:lang w:val="es-ES"/>
        </w:rPr>
        <w:t xml:space="preserve"> </w:t>
      </w:r>
      <w:r>
        <w:rPr>
          <w:rFonts w:ascii="Arial" w:hAnsi="Arial" w:cs="Arial"/>
          <w:szCs w:val="24"/>
          <w:lang w:val="es-ES"/>
        </w:rPr>
        <w:t xml:space="preserve">y </w:t>
      </w:r>
      <w:r w:rsidRPr="0046585C">
        <w:rPr>
          <w:rFonts w:ascii="Arial" w:hAnsi="Arial" w:cs="Arial"/>
          <w:szCs w:val="24"/>
          <w:lang w:val="es-ES"/>
        </w:rPr>
        <w:t>pérdida de sinapsis, en particular el mecanismo de muerte programada del axón</w:t>
      </w:r>
      <w:r>
        <w:rPr>
          <w:rFonts w:ascii="Arial" w:hAnsi="Arial" w:cs="Arial"/>
          <w:szCs w:val="24"/>
          <w:lang w:val="es-ES"/>
        </w:rPr>
        <w:t>, lo que se conoce también como d</w:t>
      </w:r>
      <w:r w:rsidRPr="0046585C">
        <w:rPr>
          <w:rFonts w:ascii="Arial" w:hAnsi="Arial" w:cs="Arial"/>
          <w:szCs w:val="24"/>
          <w:lang w:val="es-ES"/>
        </w:rPr>
        <w:t xml:space="preserve">egeneración </w:t>
      </w:r>
      <w:proofErr w:type="spellStart"/>
      <w:r w:rsidRPr="0046585C">
        <w:rPr>
          <w:rFonts w:ascii="Arial" w:hAnsi="Arial" w:cs="Arial"/>
          <w:szCs w:val="24"/>
          <w:lang w:val="es-ES"/>
        </w:rPr>
        <w:t>walleriana</w:t>
      </w:r>
      <w:proofErr w:type="spellEnd"/>
      <w:r>
        <w:rPr>
          <w:rFonts w:ascii="Arial" w:hAnsi="Arial" w:cs="Arial"/>
          <w:szCs w:val="24"/>
          <w:lang w:val="es-ES"/>
        </w:rPr>
        <w:t>,</w:t>
      </w:r>
      <w:r w:rsidRPr="0046585C">
        <w:rPr>
          <w:rFonts w:ascii="Arial" w:hAnsi="Arial" w:cs="Arial"/>
          <w:szCs w:val="24"/>
          <w:lang w:val="es-ES"/>
        </w:rPr>
        <w:t xml:space="preserve"> que puede activarse por lesi</w:t>
      </w:r>
      <w:r>
        <w:rPr>
          <w:rFonts w:ascii="Arial" w:hAnsi="Arial" w:cs="Arial"/>
          <w:szCs w:val="24"/>
          <w:lang w:val="es-ES"/>
        </w:rPr>
        <w:t>o</w:t>
      </w:r>
      <w:r w:rsidRPr="0046585C">
        <w:rPr>
          <w:rFonts w:ascii="Arial" w:hAnsi="Arial" w:cs="Arial"/>
          <w:szCs w:val="24"/>
          <w:lang w:val="es-ES"/>
        </w:rPr>
        <w:t>n</w:t>
      </w:r>
      <w:r>
        <w:rPr>
          <w:rFonts w:ascii="Arial" w:hAnsi="Arial" w:cs="Arial"/>
          <w:szCs w:val="24"/>
          <w:lang w:val="es-ES"/>
        </w:rPr>
        <w:t>es</w:t>
      </w:r>
      <w:r w:rsidRPr="0046585C">
        <w:rPr>
          <w:rFonts w:ascii="Arial" w:hAnsi="Arial" w:cs="Arial"/>
          <w:szCs w:val="24"/>
          <w:lang w:val="es-ES"/>
        </w:rPr>
        <w:t xml:space="preserve"> </w:t>
      </w:r>
      <w:r>
        <w:rPr>
          <w:rFonts w:ascii="Arial" w:hAnsi="Arial" w:cs="Arial"/>
          <w:szCs w:val="24"/>
          <w:lang w:val="es-ES"/>
        </w:rPr>
        <w:t xml:space="preserve">en </w:t>
      </w:r>
      <w:r w:rsidRPr="0046585C">
        <w:rPr>
          <w:rFonts w:ascii="Arial" w:hAnsi="Arial" w:cs="Arial"/>
          <w:szCs w:val="24"/>
          <w:lang w:val="es-ES"/>
        </w:rPr>
        <w:t>el axón, mutación genética, toxinas y</w:t>
      </w:r>
      <w:r>
        <w:rPr>
          <w:rFonts w:ascii="Arial" w:hAnsi="Arial" w:cs="Arial"/>
          <w:szCs w:val="24"/>
          <w:lang w:val="es-ES"/>
        </w:rPr>
        <w:t xml:space="preserve"> </w:t>
      </w:r>
      <w:r w:rsidRPr="0046585C">
        <w:rPr>
          <w:rFonts w:ascii="Arial" w:hAnsi="Arial" w:cs="Arial"/>
          <w:szCs w:val="24"/>
          <w:lang w:val="es-ES"/>
        </w:rPr>
        <w:t>virus.</w:t>
      </w:r>
      <w:r>
        <w:rPr>
          <w:rFonts w:ascii="Arial" w:hAnsi="Arial" w:cs="Arial"/>
          <w:szCs w:val="24"/>
          <w:lang w:val="es-ES"/>
        </w:rPr>
        <w:t xml:space="preserve"> Su objetivo es </w:t>
      </w:r>
      <w:r w:rsidRPr="00870012">
        <w:rPr>
          <w:rFonts w:ascii="Arial" w:hAnsi="Arial" w:cs="Arial"/>
          <w:szCs w:val="24"/>
          <w:lang w:val="es-ES"/>
        </w:rPr>
        <w:t xml:space="preserve">caracterizar completamente </w:t>
      </w:r>
      <w:r>
        <w:rPr>
          <w:rFonts w:ascii="Arial" w:hAnsi="Arial" w:cs="Arial"/>
          <w:szCs w:val="24"/>
          <w:lang w:val="es-ES"/>
        </w:rPr>
        <w:t>la</w:t>
      </w:r>
      <w:r w:rsidRPr="00870012">
        <w:rPr>
          <w:rFonts w:ascii="Arial" w:hAnsi="Arial" w:cs="Arial"/>
          <w:szCs w:val="24"/>
          <w:lang w:val="es-ES"/>
        </w:rPr>
        <w:t xml:space="preserve"> vía </w:t>
      </w:r>
      <w:proofErr w:type="spellStart"/>
      <w:r w:rsidRPr="0046585C">
        <w:rPr>
          <w:rFonts w:ascii="Arial" w:hAnsi="Arial" w:cs="Arial"/>
          <w:szCs w:val="24"/>
          <w:lang w:val="es-ES"/>
        </w:rPr>
        <w:t>walleriana</w:t>
      </w:r>
      <w:proofErr w:type="spellEnd"/>
      <w:r>
        <w:rPr>
          <w:rFonts w:ascii="Arial" w:hAnsi="Arial" w:cs="Arial"/>
          <w:szCs w:val="24"/>
          <w:lang w:val="es-ES"/>
        </w:rPr>
        <w:t xml:space="preserve"> (</w:t>
      </w:r>
      <w:proofErr w:type="spellStart"/>
      <w:r w:rsidRPr="00870012">
        <w:rPr>
          <w:rFonts w:ascii="Arial" w:hAnsi="Arial" w:cs="Arial"/>
          <w:i/>
          <w:iCs/>
          <w:szCs w:val="24"/>
          <w:lang w:val="es-ES"/>
        </w:rPr>
        <w:t>Wallerian</w:t>
      </w:r>
      <w:proofErr w:type="spellEnd"/>
      <w:r w:rsidRPr="00870012">
        <w:rPr>
          <w:rFonts w:ascii="Arial" w:hAnsi="Arial" w:cs="Arial"/>
          <w:i/>
          <w:iCs/>
          <w:szCs w:val="24"/>
          <w:lang w:val="es-ES"/>
        </w:rPr>
        <w:t xml:space="preserve"> </w:t>
      </w:r>
      <w:proofErr w:type="spellStart"/>
      <w:r w:rsidRPr="00870012">
        <w:rPr>
          <w:rFonts w:ascii="Arial" w:hAnsi="Arial" w:cs="Arial"/>
          <w:i/>
          <w:iCs/>
          <w:szCs w:val="24"/>
          <w:lang w:val="es-ES"/>
        </w:rPr>
        <w:t>pathaway</w:t>
      </w:r>
      <w:proofErr w:type="spellEnd"/>
      <w:r>
        <w:rPr>
          <w:rFonts w:ascii="Arial" w:hAnsi="Arial" w:cs="Arial"/>
          <w:szCs w:val="24"/>
          <w:lang w:val="es-ES"/>
        </w:rPr>
        <w:t>)</w:t>
      </w:r>
      <w:r w:rsidRPr="00870012">
        <w:rPr>
          <w:rFonts w:ascii="Arial" w:hAnsi="Arial" w:cs="Arial"/>
          <w:szCs w:val="24"/>
          <w:lang w:val="es-ES"/>
        </w:rPr>
        <w:t xml:space="preserve"> </w:t>
      </w:r>
      <w:r w:rsidRPr="00870012">
        <w:rPr>
          <w:rFonts w:ascii="Arial" w:hAnsi="Arial" w:cs="Arial"/>
          <w:szCs w:val="24"/>
          <w:lang w:val="es-ES"/>
        </w:rPr>
        <w:t>para identificar las enfermedades humanas asociadas a ella y desarrollar fármacos que permitan modificarla</w:t>
      </w:r>
      <w:r>
        <w:rPr>
          <w:rFonts w:ascii="Arial" w:hAnsi="Arial" w:cs="Arial"/>
          <w:szCs w:val="24"/>
          <w:lang w:val="es-ES"/>
        </w:rPr>
        <w:t>.</w:t>
      </w:r>
    </w:p>
    <w:p w14:paraId="6A75F894" w14:textId="0E1CBF7C" w:rsidR="0046585C" w:rsidRPr="00870012" w:rsidRDefault="00E86657" w:rsidP="0046585C">
      <w:pPr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Además, e</w:t>
      </w:r>
      <w:r w:rsidR="0046585C" w:rsidRPr="0046585C">
        <w:rPr>
          <w:rFonts w:ascii="Arial" w:hAnsi="Arial" w:cs="Arial"/>
          <w:szCs w:val="24"/>
          <w:lang w:val="es-ES"/>
        </w:rPr>
        <w:t>l profesor Coleman tiene un interés creciente en la formación y tutoría de académicos,</w:t>
      </w:r>
      <w:r w:rsidR="0046585C">
        <w:rPr>
          <w:rFonts w:ascii="Arial" w:hAnsi="Arial" w:cs="Arial"/>
          <w:szCs w:val="24"/>
          <w:lang w:val="es-ES"/>
        </w:rPr>
        <w:t xml:space="preserve"> </w:t>
      </w:r>
      <w:r w:rsidR="0046585C" w:rsidRPr="0046585C">
        <w:rPr>
          <w:rFonts w:ascii="Arial" w:hAnsi="Arial" w:cs="Arial"/>
          <w:szCs w:val="24"/>
          <w:lang w:val="es-ES"/>
        </w:rPr>
        <w:t xml:space="preserve">incluyendo la dirección de un grupo </w:t>
      </w:r>
      <w:r w:rsidRPr="00E86657">
        <w:rPr>
          <w:rFonts w:ascii="Arial" w:hAnsi="Arial" w:cs="Arial"/>
          <w:szCs w:val="24"/>
          <w:lang w:val="es-ES"/>
        </w:rPr>
        <w:t>de mentores entre pares</w:t>
      </w:r>
      <w:r>
        <w:rPr>
          <w:rFonts w:ascii="Arial" w:hAnsi="Arial" w:cs="Arial"/>
          <w:szCs w:val="24"/>
          <w:lang w:val="es-ES"/>
        </w:rPr>
        <w:t xml:space="preserve"> para la investigación de la Enfermedad de Alzheimer en Reino Unido (ECR)</w:t>
      </w:r>
      <w:r w:rsidR="0046585C" w:rsidRPr="0046585C">
        <w:rPr>
          <w:rFonts w:ascii="Arial" w:hAnsi="Arial" w:cs="Arial"/>
          <w:szCs w:val="24"/>
          <w:lang w:val="es-ES"/>
        </w:rPr>
        <w:t xml:space="preserve">. </w:t>
      </w:r>
      <w:r w:rsidR="0046585C">
        <w:rPr>
          <w:rFonts w:ascii="Arial" w:hAnsi="Arial" w:cs="Arial"/>
          <w:szCs w:val="24"/>
          <w:lang w:val="es-ES"/>
        </w:rPr>
        <w:t>Es</w:t>
      </w:r>
      <w:r w:rsidR="0046585C" w:rsidRPr="0046585C">
        <w:rPr>
          <w:rFonts w:ascii="Arial" w:hAnsi="Arial" w:cs="Arial"/>
          <w:szCs w:val="24"/>
          <w:lang w:val="es-ES"/>
        </w:rPr>
        <w:t xml:space="preserve"> un fuerte</w:t>
      </w:r>
      <w:r w:rsidR="0046585C">
        <w:rPr>
          <w:rFonts w:ascii="Arial" w:hAnsi="Arial" w:cs="Arial"/>
          <w:szCs w:val="24"/>
          <w:lang w:val="es-ES"/>
        </w:rPr>
        <w:t xml:space="preserve"> </w:t>
      </w:r>
      <w:r w:rsidR="0046585C" w:rsidRPr="0046585C">
        <w:rPr>
          <w:rFonts w:ascii="Arial" w:hAnsi="Arial" w:cs="Arial"/>
          <w:szCs w:val="24"/>
          <w:lang w:val="es-ES"/>
        </w:rPr>
        <w:t>defensor de los esfuerzos para modernizar y mejorar la cultura de la investigación académica</w:t>
      </w:r>
      <w:r w:rsidR="0046585C">
        <w:rPr>
          <w:rFonts w:ascii="Arial" w:hAnsi="Arial" w:cs="Arial"/>
          <w:szCs w:val="24"/>
          <w:lang w:val="es-ES"/>
        </w:rPr>
        <w:t>.</w:t>
      </w:r>
    </w:p>
    <w:p w14:paraId="2C27D04D" w14:textId="77777777" w:rsidR="00870012" w:rsidRPr="00F25A4F" w:rsidRDefault="00870012" w:rsidP="00870012">
      <w:pPr>
        <w:jc w:val="both"/>
        <w:rPr>
          <w:rFonts w:ascii="Arial" w:hAnsi="Arial" w:cs="Arial"/>
          <w:szCs w:val="24"/>
          <w:lang w:val="es-ES"/>
        </w:rPr>
      </w:pPr>
      <w:r w:rsidRPr="00F25A4F">
        <w:rPr>
          <w:rFonts w:ascii="Arial" w:hAnsi="Arial" w:cs="Arial"/>
          <w:szCs w:val="24"/>
          <w:lang w:val="es-ES"/>
        </w:rPr>
        <w:t>Publicaciones destacadas:</w:t>
      </w:r>
    </w:p>
    <w:p w14:paraId="08856C0C" w14:textId="2D4CA3E9" w:rsidR="00F25A4F" w:rsidRPr="00F25A4F" w:rsidRDefault="00F25A4F" w:rsidP="00663CDF">
      <w:pPr>
        <w:shd w:val="clear" w:color="auto" w:fill="FFFFFF"/>
        <w:spacing w:after="160"/>
        <w:rPr>
          <w:rFonts w:ascii="Arial" w:eastAsia="Times New Roman" w:hAnsi="Arial" w:cs="Arial"/>
          <w:color w:val="222222"/>
          <w:szCs w:val="24"/>
          <w:lang w:val="en-GB" w:eastAsia="es-ES"/>
        </w:rPr>
      </w:pPr>
      <w:r w:rsidRPr="00F25A4F">
        <w:rPr>
          <w:rFonts w:ascii="Arial" w:eastAsia="Times New Roman" w:hAnsi="Arial" w:cs="Arial"/>
          <w:szCs w:val="24"/>
          <w:lang w:val="en-GB" w:eastAsia="es-ES"/>
        </w:rPr>
        <w:t>Loreto, A., et al</w:t>
      </w:r>
      <w:r>
        <w:rPr>
          <w:rFonts w:ascii="Arial" w:eastAsia="Times New Roman" w:hAnsi="Arial" w:cs="Arial"/>
          <w:szCs w:val="24"/>
          <w:lang w:val="en-GB" w:eastAsia="es-ES"/>
        </w:rPr>
        <w:t>.</w:t>
      </w:r>
      <w:r w:rsidRPr="00F25A4F">
        <w:rPr>
          <w:rFonts w:ascii="Arial" w:eastAsia="Times New Roman" w:hAnsi="Arial" w:cs="Arial"/>
          <w:szCs w:val="24"/>
          <w:lang w:val="en-GB" w:eastAsia="es-ES"/>
        </w:rPr>
        <w:t xml:space="preserve"> (2021) “</w:t>
      </w:r>
      <w:r w:rsidRPr="00F25A4F">
        <w:rPr>
          <w:rFonts w:ascii="Arial" w:eastAsia="Times New Roman" w:hAnsi="Arial" w:cs="Arial"/>
          <w:b/>
          <w:bCs/>
          <w:szCs w:val="24"/>
          <w:lang w:val="en-GB" w:eastAsia="es-ES"/>
        </w:rPr>
        <w:t>Neurotoxin-mediated potent activation of the axon degeneration regulator SARM1</w:t>
      </w:r>
      <w:r w:rsidRPr="00F25A4F">
        <w:rPr>
          <w:rFonts w:ascii="Arial" w:eastAsia="Times New Roman" w:hAnsi="Arial" w:cs="Arial"/>
          <w:szCs w:val="24"/>
          <w:lang w:val="en-GB" w:eastAsia="es-ES"/>
        </w:rPr>
        <w:t>”. </w:t>
      </w:r>
      <w:proofErr w:type="spellStart"/>
      <w:r w:rsidRPr="00F25A4F">
        <w:rPr>
          <w:rFonts w:ascii="Arial" w:eastAsia="Times New Roman" w:hAnsi="Arial" w:cs="Arial"/>
          <w:i/>
          <w:iCs/>
          <w:szCs w:val="24"/>
          <w:lang w:val="en-GB" w:eastAsia="es-ES"/>
        </w:rPr>
        <w:t>eLife</w:t>
      </w:r>
      <w:proofErr w:type="spellEnd"/>
      <w:r w:rsidRPr="00F25A4F">
        <w:rPr>
          <w:rFonts w:ascii="Arial" w:eastAsia="Times New Roman" w:hAnsi="Arial" w:cs="Arial"/>
          <w:szCs w:val="24"/>
          <w:lang w:val="en-GB" w:eastAsia="es-ES"/>
        </w:rPr>
        <w:t> </w:t>
      </w:r>
      <w:proofErr w:type="gramStart"/>
      <w:r w:rsidRPr="00F25A4F">
        <w:rPr>
          <w:rFonts w:ascii="Arial" w:eastAsia="Times New Roman" w:hAnsi="Arial" w:cs="Arial"/>
          <w:szCs w:val="24"/>
          <w:lang w:val="en-GB" w:eastAsia="es-ES"/>
        </w:rPr>
        <w:t>10</w:t>
      </w:r>
      <w:r w:rsidRPr="00F25A4F">
        <w:rPr>
          <w:rFonts w:ascii="Arial" w:eastAsia="Times New Roman" w:hAnsi="Arial" w:cs="Arial"/>
          <w:b/>
          <w:bCs/>
          <w:szCs w:val="24"/>
          <w:lang w:val="en-GB" w:eastAsia="es-ES"/>
        </w:rPr>
        <w:t>:</w:t>
      </w:r>
      <w:r w:rsidRPr="00F25A4F">
        <w:rPr>
          <w:rFonts w:ascii="Arial" w:eastAsia="Times New Roman" w:hAnsi="Arial" w:cs="Arial"/>
          <w:szCs w:val="24"/>
          <w:lang w:val="en-GB" w:eastAsia="es-ES"/>
        </w:rPr>
        <w:t>e</w:t>
      </w:r>
      <w:proofErr w:type="gramEnd"/>
      <w:r w:rsidRPr="00F25A4F">
        <w:rPr>
          <w:rFonts w:ascii="Arial" w:eastAsia="Times New Roman" w:hAnsi="Arial" w:cs="Arial"/>
          <w:szCs w:val="24"/>
          <w:lang w:val="en-GB" w:eastAsia="es-ES"/>
        </w:rPr>
        <w:t>72823.</w:t>
      </w:r>
      <w:r w:rsidRPr="00F25A4F">
        <w:rPr>
          <w:rFonts w:ascii="Arial" w:eastAsia="Times New Roman" w:hAnsi="Arial" w:cs="Arial"/>
          <w:szCs w:val="24"/>
          <w:lang w:val="en-GB" w:eastAsia="es-ES"/>
        </w:rPr>
        <w:t xml:space="preserve"> </w:t>
      </w:r>
      <w:r w:rsidRPr="00F25A4F">
        <w:rPr>
          <w:rFonts w:ascii="Arial" w:eastAsia="Times New Roman" w:hAnsi="Arial" w:cs="Arial"/>
          <w:szCs w:val="24"/>
          <w:lang w:val="en-GB" w:eastAsia="es-ES"/>
        </w:rPr>
        <w:t>DOI:</w:t>
      </w:r>
      <w:r w:rsidRPr="00F25A4F">
        <w:rPr>
          <w:rFonts w:ascii="Arial" w:eastAsia="Times New Roman" w:hAnsi="Arial" w:cs="Arial"/>
          <w:b/>
          <w:bCs/>
          <w:szCs w:val="24"/>
          <w:lang w:val="en-GB" w:eastAsia="es-ES"/>
        </w:rPr>
        <w:t xml:space="preserve"> </w:t>
      </w:r>
      <w:hyperlink r:id="rId4" w:history="1">
        <w:r w:rsidRPr="00F25A4F">
          <w:rPr>
            <w:rStyle w:val="Hipervnculo"/>
            <w:rFonts w:ascii="Arial" w:eastAsia="Times New Roman" w:hAnsi="Arial" w:cs="Arial"/>
            <w:szCs w:val="24"/>
            <w:lang w:val="en-GB" w:eastAsia="es-ES"/>
          </w:rPr>
          <w:t>http://doi.org/10.7554/eLife.72823</w:t>
        </w:r>
      </w:hyperlink>
    </w:p>
    <w:p w14:paraId="431232C7" w14:textId="429CB54B" w:rsidR="00F25A4F" w:rsidRPr="00F25A4F" w:rsidRDefault="00F25A4F" w:rsidP="00F25A4F">
      <w:pPr>
        <w:shd w:val="clear" w:color="auto" w:fill="FFFFFF"/>
        <w:spacing w:after="160"/>
        <w:jc w:val="both"/>
        <w:rPr>
          <w:rFonts w:ascii="Arial" w:eastAsia="Times New Roman" w:hAnsi="Arial" w:cs="Arial"/>
          <w:szCs w:val="24"/>
          <w:lang w:val="en-GB" w:eastAsia="es-ES"/>
        </w:rPr>
      </w:pPr>
      <w:r w:rsidRPr="00F25A4F">
        <w:rPr>
          <w:rFonts w:ascii="Arial" w:eastAsia="Times New Roman" w:hAnsi="Arial" w:cs="Arial"/>
          <w:szCs w:val="24"/>
          <w:lang w:val="en-GB" w:eastAsia="es-ES"/>
        </w:rPr>
        <w:t xml:space="preserve">Gilley, J., et </w:t>
      </w:r>
      <w:r>
        <w:rPr>
          <w:rFonts w:ascii="Arial" w:eastAsia="Times New Roman" w:hAnsi="Arial" w:cs="Arial"/>
          <w:szCs w:val="24"/>
          <w:lang w:val="en-GB" w:eastAsia="es-ES"/>
        </w:rPr>
        <w:t>al.</w:t>
      </w:r>
      <w:r w:rsidRPr="00F25A4F">
        <w:rPr>
          <w:rFonts w:ascii="Arial" w:eastAsia="Times New Roman" w:hAnsi="Arial" w:cs="Arial"/>
          <w:szCs w:val="24"/>
          <w:lang w:val="en-GB" w:eastAsia="es-ES"/>
        </w:rPr>
        <w:t xml:space="preserve"> (2021) “</w:t>
      </w:r>
      <w:r w:rsidRPr="00F25A4F">
        <w:rPr>
          <w:rFonts w:ascii="Arial" w:eastAsia="Times New Roman" w:hAnsi="Arial" w:cs="Arial"/>
          <w:b/>
          <w:bCs/>
          <w:szCs w:val="24"/>
          <w:lang w:val="en-GB" w:eastAsia="es-ES"/>
        </w:rPr>
        <w:t xml:space="preserve">Enrichment of SARM1 alleles encoding variants with constitutively hyperactive </w:t>
      </w:r>
      <w:proofErr w:type="spellStart"/>
      <w:r w:rsidRPr="00F25A4F">
        <w:rPr>
          <w:rFonts w:ascii="Arial" w:eastAsia="Times New Roman" w:hAnsi="Arial" w:cs="Arial"/>
          <w:b/>
          <w:bCs/>
          <w:szCs w:val="24"/>
          <w:lang w:val="en-GB" w:eastAsia="es-ES"/>
        </w:rPr>
        <w:t>NADase</w:t>
      </w:r>
      <w:proofErr w:type="spellEnd"/>
      <w:r w:rsidRPr="00F25A4F">
        <w:rPr>
          <w:rFonts w:ascii="Arial" w:eastAsia="Times New Roman" w:hAnsi="Arial" w:cs="Arial"/>
          <w:b/>
          <w:bCs/>
          <w:szCs w:val="24"/>
          <w:lang w:val="en-GB" w:eastAsia="es-ES"/>
        </w:rPr>
        <w:t xml:space="preserve"> in patients with ALS and other motor nerve disorders</w:t>
      </w:r>
      <w:r w:rsidRPr="00F25A4F">
        <w:rPr>
          <w:rFonts w:ascii="Arial" w:eastAsia="Times New Roman" w:hAnsi="Arial" w:cs="Arial"/>
          <w:szCs w:val="24"/>
          <w:lang w:val="en-GB" w:eastAsia="es-ES"/>
        </w:rPr>
        <w:t>”. </w:t>
      </w:r>
      <w:proofErr w:type="spellStart"/>
      <w:r w:rsidRPr="00F25A4F">
        <w:rPr>
          <w:rFonts w:ascii="Arial" w:eastAsia="Times New Roman" w:hAnsi="Arial" w:cs="Arial"/>
          <w:i/>
          <w:iCs/>
          <w:szCs w:val="24"/>
          <w:lang w:val="en-GB" w:eastAsia="es-ES"/>
        </w:rPr>
        <w:t>eLife</w:t>
      </w:r>
      <w:proofErr w:type="spellEnd"/>
      <w:r w:rsidRPr="00F25A4F">
        <w:rPr>
          <w:rFonts w:ascii="Arial" w:eastAsia="Times New Roman" w:hAnsi="Arial" w:cs="Arial"/>
          <w:szCs w:val="24"/>
          <w:lang w:val="en-GB" w:eastAsia="es-ES"/>
        </w:rPr>
        <w:t> 10: e70905</w:t>
      </w:r>
      <w:r w:rsidRPr="00F25A4F">
        <w:rPr>
          <w:rFonts w:ascii="Arial" w:eastAsia="Times New Roman" w:hAnsi="Arial" w:cs="Arial"/>
          <w:szCs w:val="24"/>
          <w:lang w:val="en-GB" w:eastAsia="es-ES"/>
        </w:rPr>
        <w:t xml:space="preserve">. </w:t>
      </w:r>
      <w:r>
        <w:rPr>
          <w:rFonts w:ascii="Arial" w:eastAsia="Times New Roman" w:hAnsi="Arial" w:cs="Arial"/>
          <w:szCs w:val="24"/>
          <w:lang w:val="en-GB" w:eastAsia="es-ES"/>
        </w:rPr>
        <w:t xml:space="preserve">DOI: </w:t>
      </w:r>
      <w:hyperlink r:id="rId5" w:history="1">
        <w:r w:rsidRPr="00004BDE">
          <w:rPr>
            <w:rStyle w:val="Hipervnculo"/>
            <w:rFonts w:ascii="Arial" w:eastAsia="Times New Roman" w:hAnsi="Arial" w:cs="Arial"/>
            <w:szCs w:val="24"/>
            <w:lang w:val="en-GB" w:eastAsia="es-ES"/>
          </w:rPr>
          <w:t>https://doi.org/10.7554/elife.70905</w:t>
        </w:r>
      </w:hyperlink>
      <w:r>
        <w:rPr>
          <w:rFonts w:ascii="Arial" w:eastAsia="Times New Roman" w:hAnsi="Arial" w:cs="Arial"/>
          <w:szCs w:val="24"/>
          <w:lang w:val="en-GB" w:eastAsia="es-ES"/>
        </w:rPr>
        <w:t xml:space="preserve"> </w:t>
      </w:r>
    </w:p>
    <w:p w14:paraId="345C32E3" w14:textId="405C3AE8" w:rsidR="00F25A4F" w:rsidRPr="00F25A4F" w:rsidRDefault="00F25A4F" w:rsidP="00F25A4F">
      <w:pPr>
        <w:shd w:val="clear" w:color="auto" w:fill="FFFFFF"/>
        <w:spacing w:after="160"/>
        <w:jc w:val="both"/>
        <w:rPr>
          <w:rFonts w:ascii="Arial" w:eastAsia="Times New Roman" w:hAnsi="Arial" w:cs="Arial"/>
          <w:szCs w:val="24"/>
          <w:lang w:val="en-GB" w:eastAsia="es-ES"/>
        </w:rPr>
      </w:pPr>
      <w:r w:rsidRPr="00F25A4F">
        <w:rPr>
          <w:rFonts w:ascii="Arial" w:eastAsia="Times New Roman" w:hAnsi="Arial" w:cs="Arial"/>
          <w:szCs w:val="24"/>
          <w:lang w:val="en-GB" w:eastAsia="es-ES"/>
        </w:rPr>
        <w:t xml:space="preserve">Coleman, M.P. and </w:t>
      </w:r>
      <w:proofErr w:type="spellStart"/>
      <w:r w:rsidRPr="00F25A4F">
        <w:rPr>
          <w:rFonts w:ascii="Arial" w:eastAsia="Times New Roman" w:hAnsi="Arial" w:cs="Arial"/>
          <w:szCs w:val="24"/>
          <w:lang w:val="en-GB" w:eastAsia="es-ES"/>
        </w:rPr>
        <w:t>Höke</w:t>
      </w:r>
      <w:proofErr w:type="spellEnd"/>
      <w:r w:rsidRPr="00F25A4F">
        <w:rPr>
          <w:rFonts w:ascii="Arial" w:eastAsia="Times New Roman" w:hAnsi="Arial" w:cs="Arial"/>
          <w:szCs w:val="24"/>
          <w:lang w:val="en-GB" w:eastAsia="es-ES"/>
        </w:rPr>
        <w:t xml:space="preserve">, A. (2020) </w:t>
      </w:r>
      <w:r>
        <w:rPr>
          <w:rFonts w:ascii="Arial" w:eastAsia="Times New Roman" w:hAnsi="Arial" w:cs="Arial"/>
          <w:szCs w:val="24"/>
          <w:lang w:val="en-GB" w:eastAsia="es-ES"/>
        </w:rPr>
        <w:t>“</w:t>
      </w:r>
      <w:r w:rsidRPr="00F25A4F">
        <w:rPr>
          <w:rFonts w:ascii="Arial" w:eastAsia="Times New Roman" w:hAnsi="Arial" w:cs="Arial"/>
          <w:b/>
          <w:bCs/>
          <w:szCs w:val="24"/>
          <w:lang w:val="en-GB" w:eastAsia="es-ES"/>
        </w:rPr>
        <w:t>Programmed axon degeneration: from mouse to mechanism to medicine</w:t>
      </w:r>
      <w:r>
        <w:rPr>
          <w:rFonts w:ascii="Arial" w:eastAsia="Times New Roman" w:hAnsi="Arial" w:cs="Arial"/>
          <w:b/>
          <w:bCs/>
          <w:szCs w:val="24"/>
          <w:lang w:val="en-GB" w:eastAsia="es-ES"/>
        </w:rPr>
        <w:t>”</w:t>
      </w:r>
      <w:r w:rsidRPr="00F25A4F">
        <w:rPr>
          <w:rFonts w:ascii="Arial" w:eastAsia="Times New Roman" w:hAnsi="Arial" w:cs="Arial"/>
          <w:szCs w:val="24"/>
          <w:lang w:val="en-GB" w:eastAsia="es-ES"/>
        </w:rPr>
        <w:t>. </w:t>
      </w:r>
      <w:r w:rsidRPr="00F25A4F">
        <w:rPr>
          <w:rFonts w:ascii="Arial" w:eastAsia="Times New Roman" w:hAnsi="Arial" w:cs="Arial"/>
          <w:i/>
          <w:iCs/>
          <w:szCs w:val="24"/>
          <w:lang w:val="en-GB" w:eastAsia="es-ES"/>
        </w:rPr>
        <w:t>Nat</w:t>
      </w:r>
      <w:r>
        <w:rPr>
          <w:rFonts w:ascii="Arial" w:eastAsia="Times New Roman" w:hAnsi="Arial" w:cs="Arial"/>
          <w:i/>
          <w:iCs/>
          <w:szCs w:val="24"/>
          <w:lang w:val="en-GB" w:eastAsia="es-ES"/>
        </w:rPr>
        <w:t>ure</w:t>
      </w:r>
      <w:r w:rsidRPr="00F25A4F">
        <w:rPr>
          <w:rFonts w:ascii="Arial" w:eastAsia="Times New Roman" w:hAnsi="Arial" w:cs="Arial"/>
          <w:i/>
          <w:iCs/>
          <w:szCs w:val="24"/>
          <w:lang w:val="en-GB" w:eastAsia="es-ES"/>
        </w:rPr>
        <w:t xml:space="preserve"> Rev</w:t>
      </w:r>
      <w:r>
        <w:rPr>
          <w:rFonts w:ascii="Arial" w:eastAsia="Times New Roman" w:hAnsi="Arial" w:cs="Arial"/>
          <w:i/>
          <w:iCs/>
          <w:szCs w:val="24"/>
          <w:lang w:val="en-GB" w:eastAsia="es-ES"/>
        </w:rPr>
        <w:t>iews</w:t>
      </w:r>
      <w:r w:rsidRPr="00F25A4F">
        <w:rPr>
          <w:rFonts w:ascii="Arial" w:eastAsia="Times New Roman" w:hAnsi="Arial" w:cs="Arial"/>
          <w:i/>
          <w:iCs/>
          <w:szCs w:val="24"/>
          <w:lang w:val="en-GB" w:eastAsia="es-ES"/>
        </w:rPr>
        <w:t xml:space="preserve"> Neurosci</w:t>
      </w:r>
      <w:r>
        <w:rPr>
          <w:rFonts w:ascii="Arial" w:eastAsia="Times New Roman" w:hAnsi="Arial" w:cs="Arial"/>
          <w:i/>
          <w:iCs/>
          <w:szCs w:val="24"/>
          <w:lang w:val="en-GB" w:eastAsia="es-ES"/>
        </w:rPr>
        <w:t>ence</w:t>
      </w:r>
      <w:r w:rsidRPr="00F25A4F">
        <w:rPr>
          <w:rFonts w:ascii="Arial" w:eastAsia="Times New Roman" w:hAnsi="Arial" w:cs="Arial"/>
          <w:i/>
          <w:iCs/>
          <w:szCs w:val="24"/>
          <w:lang w:val="en-GB" w:eastAsia="es-ES"/>
        </w:rPr>
        <w:t> </w:t>
      </w:r>
      <w:r w:rsidRPr="00F25A4F">
        <w:rPr>
          <w:rFonts w:ascii="Arial" w:eastAsia="Times New Roman" w:hAnsi="Arial" w:cs="Arial"/>
          <w:szCs w:val="24"/>
          <w:lang w:val="en-GB" w:eastAsia="es-ES"/>
        </w:rPr>
        <w:t>21</w:t>
      </w:r>
      <w:r w:rsidRPr="00F25A4F">
        <w:rPr>
          <w:rFonts w:ascii="Arial" w:eastAsia="Times New Roman" w:hAnsi="Arial" w:cs="Arial"/>
          <w:b/>
          <w:bCs/>
          <w:szCs w:val="24"/>
          <w:lang w:val="en-GB" w:eastAsia="es-ES"/>
        </w:rPr>
        <w:t>:</w:t>
      </w:r>
      <w:r w:rsidRPr="00F25A4F">
        <w:rPr>
          <w:rFonts w:ascii="Arial" w:eastAsia="Times New Roman" w:hAnsi="Arial" w:cs="Arial"/>
          <w:szCs w:val="24"/>
          <w:lang w:val="en-GB" w:eastAsia="es-ES"/>
        </w:rPr>
        <w:t>183-196.</w:t>
      </w:r>
      <w:r>
        <w:rPr>
          <w:rFonts w:ascii="Arial" w:eastAsia="Times New Roman" w:hAnsi="Arial" w:cs="Arial"/>
          <w:szCs w:val="24"/>
          <w:lang w:val="en-GB" w:eastAsia="es-ES"/>
        </w:rPr>
        <w:t xml:space="preserve"> DOI: </w:t>
      </w:r>
      <w:hyperlink r:id="rId6" w:history="1">
        <w:r w:rsidRPr="00004BDE">
          <w:rPr>
            <w:rStyle w:val="Hipervnculo"/>
            <w:rFonts w:ascii="Arial" w:eastAsia="Times New Roman" w:hAnsi="Arial" w:cs="Arial"/>
            <w:szCs w:val="24"/>
            <w:lang w:val="en-GB" w:eastAsia="es-ES"/>
          </w:rPr>
          <w:t>https://doi.org/10.1038/s41583-020-0269-3</w:t>
        </w:r>
      </w:hyperlink>
      <w:r>
        <w:rPr>
          <w:rFonts w:ascii="Arial" w:eastAsia="Times New Roman" w:hAnsi="Arial" w:cs="Arial"/>
          <w:szCs w:val="24"/>
          <w:lang w:val="en-GB" w:eastAsia="es-ES"/>
        </w:rPr>
        <w:t xml:space="preserve"> </w:t>
      </w:r>
    </w:p>
    <w:p w14:paraId="6B71A93B" w14:textId="23DBBFDD" w:rsidR="00F25A4F" w:rsidRPr="00F25A4F" w:rsidRDefault="00F25A4F" w:rsidP="00F25A4F">
      <w:pPr>
        <w:shd w:val="clear" w:color="auto" w:fill="FFFFFF"/>
        <w:spacing w:after="160"/>
        <w:rPr>
          <w:rFonts w:ascii="Arial" w:eastAsia="Times New Roman" w:hAnsi="Arial" w:cs="Arial"/>
          <w:szCs w:val="24"/>
          <w:lang w:val="en-GB" w:eastAsia="es-ES"/>
        </w:rPr>
      </w:pPr>
      <w:proofErr w:type="spellStart"/>
      <w:r w:rsidRPr="00F25A4F">
        <w:rPr>
          <w:rFonts w:ascii="Arial" w:eastAsia="Times New Roman" w:hAnsi="Arial" w:cs="Arial"/>
          <w:szCs w:val="24"/>
          <w:lang w:val="es-ES" w:eastAsia="es-ES"/>
        </w:rPr>
        <w:t>Lukacs</w:t>
      </w:r>
      <w:proofErr w:type="spellEnd"/>
      <w:r w:rsidRPr="00F25A4F">
        <w:rPr>
          <w:rFonts w:ascii="Arial" w:eastAsia="Times New Roman" w:hAnsi="Arial" w:cs="Arial"/>
          <w:szCs w:val="24"/>
          <w:lang w:val="es-ES" w:eastAsia="es-ES"/>
        </w:rPr>
        <w:t xml:space="preserve">, M., </w:t>
      </w:r>
      <w:proofErr w:type="spellStart"/>
      <w:r w:rsidRPr="00F25A4F">
        <w:rPr>
          <w:rFonts w:ascii="Arial" w:eastAsia="Times New Roman" w:hAnsi="Arial" w:cs="Arial"/>
          <w:szCs w:val="24"/>
          <w:lang w:val="es-ES" w:eastAsia="es-ES"/>
        </w:rPr>
        <w:t>Gilley</w:t>
      </w:r>
      <w:proofErr w:type="spellEnd"/>
      <w:r w:rsidRPr="00F25A4F">
        <w:rPr>
          <w:rFonts w:ascii="Arial" w:eastAsia="Times New Roman" w:hAnsi="Arial" w:cs="Arial"/>
          <w:szCs w:val="24"/>
          <w:lang w:val="es-ES" w:eastAsia="es-ES"/>
        </w:rPr>
        <w:t>, J., Zhu, Y, et al</w:t>
      </w:r>
      <w:r w:rsidRPr="00F25A4F">
        <w:rPr>
          <w:rFonts w:ascii="Arial" w:eastAsia="Times New Roman" w:hAnsi="Arial" w:cs="Arial"/>
          <w:szCs w:val="24"/>
          <w:lang w:val="es-ES" w:eastAsia="es-ES"/>
        </w:rPr>
        <w:t>.</w:t>
      </w:r>
      <w:r w:rsidRPr="00F25A4F">
        <w:rPr>
          <w:rFonts w:ascii="Arial" w:eastAsia="Times New Roman" w:hAnsi="Arial" w:cs="Arial"/>
          <w:szCs w:val="24"/>
          <w:lang w:val="es-ES" w:eastAsia="es-ES"/>
        </w:rPr>
        <w:t xml:space="preserve"> </w:t>
      </w:r>
      <w:r w:rsidRPr="00F25A4F">
        <w:rPr>
          <w:rFonts w:ascii="Arial" w:eastAsia="Times New Roman" w:hAnsi="Arial" w:cs="Arial"/>
          <w:szCs w:val="24"/>
          <w:lang w:eastAsia="es-ES"/>
        </w:rPr>
        <w:t xml:space="preserve">(2019) </w:t>
      </w:r>
      <w:r>
        <w:rPr>
          <w:rFonts w:ascii="Arial" w:eastAsia="Times New Roman" w:hAnsi="Arial" w:cs="Arial"/>
          <w:szCs w:val="24"/>
          <w:lang w:eastAsia="es-ES"/>
        </w:rPr>
        <w:t>“</w:t>
      </w:r>
      <w:r w:rsidRPr="00F25A4F">
        <w:rPr>
          <w:rFonts w:ascii="Arial" w:eastAsia="Times New Roman" w:hAnsi="Arial" w:cs="Arial"/>
          <w:b/>
          <w:bCs/>
          <w:szCs w:val="24"/>
          <w:lang w:eastAsia="es-ES"/>
        </w:rPr>
        <w:t>Severe biallelic loss-of-function mutations in NMNAT2 in two fetuses with fetal akinesia deformation sequence</w:t>
      </w:r>
      <w:r>
        <w:rPr>
          <w:rFonts w:ascii="Arial" w:eastAsia="Times New Roman" w:hAnsi="Arial" w:cs="Arial"/>
          <w:b/>
          <w:bCs/>
          <w:szCs w:val="24"/>
          <w:lang w:eastAsia="es-ES"/>
        </w:rPr>
        <w:t>”</w:t>
      </w:r>
      <w:r w:rsidRPr="00F25A4F">
        <w:rPr>
          <w:rFonts w:ascii="Arial" w:eastAsia="Times New Roman" w:hAnsi="Arial" w:cs="Arial"/>
          <w:szCs w:val="24"/>
          <w:lang w:eastAsia="es-ES"/>
        </w:rPr>
        <w:t>. </w:t>
      </w:r>
      <w:r w:rsidRPr="00F25A4F">
        <w:rPr>
          <w:rFonts w:ascii="Arial" w:eastAsia="Times New Roman" w:hAnsi="Arial" w:cs="Arial"/>
          <w:i/>
          <w:iCs/>
          <w:szCs w:val="24"/>
          <w:lang w:eastAsia="es-ES"/>
        </w:rPr>
        <w:t>Exp</w:t>
      </w:r>
      <w:r>
        <w:rPr>
          <w:rFonts w:ascii="Arial" w:eastAsia="Times New Roman" w:hAnsi="Arial" w:cs="Arial"/>
          <w:i/>
          <w:iCs/>
          <w:szCs w:val="24"/>
          <w:lang w:eastAsia="es-ES"/>
        </w:rPr>
        <w:t>erimental</w:t>
      </w:r>
      <w:r w:rsidRPr="00F25A4F">
        <w:rPr>
          <w:rFonts w:ascii="Arial" w:eastAsia="Times New Roman" w:hAnsi="Arial" w:cs="Arial"/>
          <w:i/>
          <w:iCs/>
          <w:szCs w:val="24"/>
          <w:lang w:eastAsia="es-ES"/>
        </w:rPr>
        <w:t xml:space="preserve"> Neurol</w:t>
      </w:r>
      <w:r>
        <w:rPr>
          <w:rFonts w:ascii="Arial" w:eastAsia="Times New Roman" w:hAnsi="Arial" w:cs="Arial"/>
          <w:i/>
          <w:iCs/>
          <w:szCs w:val="24"/>
          <w:lang w:eastAsia="es-ES"/>
        </w:rPr>
        <w:t>ogy</w:t>
      </w:r>
      <w:r>
        <w:rPr>
          <w:rFonts w:ascii="Arial" w:eastAsia="Times New Roman" w:hAnsi="Arial" w:cs="Arial"/>
          <w:szCs w:val="24"/>
          <w:lang w:eastAsia="es-ES"/>
        </w:rPr>
        <w:t xml:space="preserve"> </w:t>
      </w:r>
      <w:r w:rsidRPr="00F25A4F">
        <w:rPr>
          <w:rFonts w:ascii="Arial" w:eastAsia="Times New Roman" w:hAnsi="Arial" w:cs="Arial"/>
          <w:szCs w:val="24"/>
          <w:lang w:eastAsia="es-ES"/>
        </w:rPr>
        <w:t>320:112961</w:t>
      </w:r>
      <w:r>
        <w:rPr>
          <w:rFonts w:ascii="Arial" w:eastAsia="Times New Roman" w:hAnsi="Arial" w:cs="Arial"/>
          <w:szCs w:val="24"/>
          <w:lang w:eastAsia="es-ES"/>
        </w:rPr>
        <w:t xml:space="preserve">. DOI: </w:t>
      </w:r>
      <w:hyperlink r:id="rId7" w:history="1">
        <w:r w:rsidRPr="00004BDE">
          <w:rPr>
            <w:rStyle w:val="Hipervnculo"/>
            <w:rFonts w:ascii="Arial" w:eastAsia="Times New Roman" w:hAnsi="Arial" w:cs="Arial"/>
            <w:szCs w:val="24"/>
            <w:lang w:eastAsia="es-ES"/>
          </w:rPr>
          <w:t>https://doi.org/10.1016/j.expneurol.2019.112961</w:t>
        </w:r>
      </w:hyperlink>
      <w:r>
        <w:rPr>
          <w:rFonts w:ascii="Arial" w:eastAsia="Times New Roman" w:hAnsi="Arial" w:cs="Arial"/>
          <w:szCs w:val="24"/>
          <w:lang w:eastAsia="es-ES"/>
        </w:rPr>
        <w:t xml:space="preserve"> </w:t>
      </w:r>
    </w:p>
    <w:p w14:paraId="16A998F0" w14:textId="239CEA0B" w:rsidR="00F25A4F" w:rsidRDefault="00F25A4F" w:rsidP="00F25A4F">
      <w:pPr>
        <w:shd w:val="clear" w:color="auto" w:fill="FFFFFF"/>
        <w:spacing w:after="160"/>
        <w:jc w:val="both"/>
        <w:rPr>
          <w:rFonts w:ascii="Arial" w:eastAsia="Times New Roman" w:hAnsi="Arial" w:cs="Arial"/>
          <w:szCs w:val="24"/>
          <w:lang w:val="en-GB" w:eastAsia="es-ES"/>
        </w:rPr>
      </w:pPr>
      <w:proofErr w:type="spellStart"/>
      <w:r w:rsidRPr="00F25A4F">
        <w:rPr>
          <w:rFonts w:ascii="Arial" w:eastAsia="Times New Roman" w:hAnsi="Arial" w:cs="Arial"/>
          <w:szCs w:val="24"/>
          <w:lang w:eastAsia="es-ES"/>
        </w:rPr>
        <w:t>Huppke</w:t>
      </w:r>
      <w:proofErr w:type="spellEnd"/>
      <w:r w:rsidRPr="00F25A4F">
        <w:rPr>
          <w:rFonts w:ascii="Arial" w:eastAsia="Times New Roman" w:hAnsi="Arial" w:cs="Arial"/>
          <w:szCs w:val="24"/>
          <w:lang w:eastAsia="es-ES"/>
        </w:rPr>
        <w:t xml:space="preserve">, P., et al (2019). </w:t>
      </w:r>
      <w:r>
        <w:rPr>
          <w:rFonts w:ascii="Arial" w:eastAsia="Times New Roman" w:hAnsi="Arial" w:cs="Arial"/>
          <w:szCs w:val="24"/>
          <w:lang w:eastAsia="es-ES"/>
        </w:rPr>
        <w:t>“</w:t>
      </w:r>
      <w:r w:rsidRPr="00F25A4F">
        <w:rPr>
          <w:rFonts w:ascii="Arial" w:eastAsia="Times New Roman" w:hAnsi="Arial" w:cs="Arial"/>
          <w:b/>
          <w:bCs/>
          <w:szCs w:val="24"/>
          <w:lang w:eastAsia="es-ES"/>
        </w:rPr>
        <w:t>Homozygous NMNAT2 mutation in sisters with polyneuropathy and erythromelalgia</w:t>
      </w:r>
      <w:r>
        <w:rPr>
          <w:rFonts w:ascii="Arial" w:eastAsia="Times New Roman" w:hAnsi="Arial" w:cs="Arial"/>
          <w:b/>
          <w:bCs/>
          <w:szCs w:val="24"/>
          <w:lang w:eastAsia="es-ES"/>
        </w:rPr>
        <w:t>”</w:t>
      </w:r>
      <w:r w:rsidRPr="00F25A4F">
        <w:rPr>
          <w:rFonts w:ascii="Arial" w:eastAsia="Times New Roman" w:hAnsi="Arial" w:cs="Arial"/>
          <w:szCs w:val="24"/>
          <w:lang w:eastAsia="es-ES"/>
        </w:rPr>
        <w:t>. </w:t>
      </w:r>
      <w:r w:rsidRPr="00F25A4F">
        <w:rPr>
          <w:rFonts w:ascii="Arial" w:eastAsia="Times New Roman" w:hAnsi="Arial" w:cs="Arial"/>
          <w:i/>
          <w:iCs/>
          <w:szCs w:val="24"/>
          <w:lang w:eastAsia="es-ES"/>
        </w:rPr>
        <w:t>Exp</w:t>
      </w:r>
      <w:r>
        <w:rPr>
          <w:rFonts w:ascii="Arial" w:eastAsia="Times New Roman" w:hAnsi="Arial" w:cs="Arial"/>
          <w:i/>
          <w:iCs/>
          <w:szCs w:val="24"/>
          <w:lang w:eastAsia="es-ES"/>
        </w:rPr>
        <w:t>erimental</w:t>
      </w:r>
      <w:r w:rsidRPr="00F25A4F">
        <w:rPr>
          <w:rFonts w:ascii="Arial" w:eastAsia="Times New Roman" w:hAnsi="Arial" w:cs="Arial"/>
          <w:i/>
          <w:iCs/>
          <w:szCs w:val="24"/>
          <w:lang w:eastAsia="es-ES"/>
        </w:rPr>
        <w:t xml:space="preserve"> Neurol</w:t>
      </w:r>
      <w:r>
        <w:rPr>
          <w:rFonts w:ascii="Arial" w:eastAsia="Times New Roman" w:hAnsi="Arial" w:cs="Arial"/>
          <w:i/>
          <w:iCs/>
          <w:szCs w:val="24"/>
          <w:lang w:eastAsia="es-ES"/>
        </w:rPr>
        <w:t>ogy</w:t>
      </w:r>
      <w:r w:rsidRPr="00F25A4F">
        <w:rPr>
          <w:rFonts w:ascii="Arial" w:eastAsia="Times New Roman" w:hAnsi="Arial" w:cs="Arial"/>
          <w:szCs w:val="24"/>
          <w:lang w:eastAsia="es-ES"/>
        </w:rPr>
        <w:t> 320:112958</w:t>
      </w:r>
      <w:r>
        <w:rPr>
          <w:rFonts w:ascii="Arial" w:eastAsia="Times New Roman" w:hAnsi="Arial" w:cs="Arial"/>
          <w:szCs w:val="24"/>
          <w:lang w:eastAsia="es-ES"/>
        </w:rPr>
        <w:t xml:space="preserve">. DOI: </w:t>
      </w:r>
      <w:hyperlink r:id="rId8" w:history="1">
        <w:r w:rsidRPr="00004BDE">
          <w:rPr>
            <w:rStyle w:val="Hipervnculo"/>
            <w:rFonts w:ascii="Arial" w:eastAsia="Times New Roman" w:hAnsi="Arial" w:cs="Arial"/>
            <w:szCs w:val="24"/>
            <w:lang w:eastAsia="es-ES"/>
          </w:rPr>
          <w:t>https://doi.org/10.1016/j.expneurol.2019.112958</w:t>
        </w:r>
      </w:hyperlink>
      <w:r>
        <w:rPr>
          <w:rFonts w:ascii="Arial" w:eastAsia="Times New Roman" w:hAnsi="Arial" w:cs="Arial"/>
          <w:szCs w:val="24"/>
          <w:lang w:eastAsia="es-ES"/>
        </w:rPr>
        <w:t xml:space="preserve"> </w:t>
      </w:r>
    </w:p>
    <w:p w14:paraId="7838A354" w14:textId="77777777" w:rsidR="00F25A4F" w:rsidRPr="00F25A4F" w:rsidRDefault="00F25A4F" w:rsidP="00F25A4F">
      <w:pPr>
        <w:shd w:val="clear" w:color="auto" w:fill="FFFFFF"/>
        <w:spacing w:after="160"/>
        <w:jc w:val="both"/>
        <w:rPr>
          <w:rFonts w:ascii="Arial" w:eastAsia="Times New Roman" w:hAnsi="Arial" w:cs="Arial"/>
          <w:szCs w:val="24"/>
          <w:lang w:val="en-GB" w:eastAsia="es-ES"/>
        </w:rPr>
      </w:pPr>
    </w:p>
    <w:p w14:paraId="77B3FF61" w14:textId="77777777" w:rsidR="00870012" w:rsidRPr="00DF09A9" w:rsidRDefault="00870012" w:rsidP="00870012">
      <w:pPr>
        <w:jc w:val="both"/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 wp14:anchorId="4F591A3B" wp14:editId="13C03619">
            <wp:extent cx="5486400" cy="3086100"/>
            <wp:effectExtent l="0" t="0" r="0" b="0"/>
            <wp:docPr id="1261207777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207777" name="Imagen 1" descr="Texto, Carta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BF88F" w14:textId="77777777" w:rsidR="00870012" w:rsidRDefault="00870012"/>
    <w:sectPr w:rsidR="00870012" w:rsidSect="00A7354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12"/>
    <w:rsid w:val="003839F2"/>
    <w:rsid w:val="0046585C"/>
    <w:rsid w:val="00663CDF"/>
    <w:rsid w:val="00870012"/>
    <w:rsid w:val="0087156E"/>
    <w:rsid w:val="00E86657"/>
    <w:rsid w:val="00F2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A36C"/>
  <w15:chartTrackingRefBased/>
  <w15:docId w15:val="{69CE81E3-14C6-4BF1-9F7A-CD2A7E40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012"/>
    <w:pPr>
      <w:spacing w:after="200" w:line="240" w:lineRule="auto"/>
    </w:pPr>
    <w:rPr>
      <w:kern w:val="0"/>
      <w:sz w:val="24"/>
      <w:szCs w:val="2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7001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5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4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expneurol.2019.11295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016/j.expneurol.2019.1129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38/s41583-020-0269-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7554/elife.7090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oi.org/10.7554/eLife.72823" TargetMode="Externa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Garrido Huarte, Elena</dc:creator>
  <cp:keywords/>
  <dc:description/>
  <cp:lastModifiedBy>Garrido Huarte, Elena</cp:lastModifiedBy>
  <cp:revision>5</cp:revision>
  <dcterms:created xsi:type="dcterms:W3CDTF">2023-09-27T10:12:00Z</dcterms:created>
  <dcterms:modified xsi:type="dcterms:W3CDTF">2023-09-27T11:45:00Z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729f3a9f-6c95-4d89-bb14-ede836ee62cf</vt:lpwstr>
  </property>
</Properties>
</file>